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48" w:rsidRPr="009732CC" w:rsidRDefault="009732CC" w:rsidP="003F612C">
      <w:pPr>
        <w:spacing w:after="0" w:line="240" w:lineRule="auto"/>
        <w:rPr>
          <w:b/>
          <w:sz w:val="40"/>
        </w:rPr>
      </w:pPr>
      <w:r w:rsidRPr="009732CC">
        <w:rPr>
          <w:b/>
          <w:noProof/>
          <w:sz w:val="40"/>
        </w:rPr>
        <w:pict>
          <v:rect id="_x0000_s1031" style="position:absolute;margin-left:-136.45pt;margin-top:-27.8pt;width:258pt;height:61.55pt;z-index:251665408" filled="f"/>
        </w:pict>
      </w:r>
      <w:r w:rsidRPr="009732CC">
        <w:rPr>
          <w:b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6.05pt;margin-top:-18.75pt;width:288.25pt;height:52.5pt;z-index:251662336;mso-width-relative:margin;mso-height-relative:margin" filled="f" stroked="f">
            <v:textbox style="mso-next-textbox:#_x0000_s1029">
              <w:txbxContent>
                <w:p w:rsidR="00760EE7" w:rsidRPr="00820FD9" w:rsidRDefault="00760EE7" w:rsidP="009732CC">
                  <w:pPr>
                    <w:jc w:val="right"/>
                    <w:rPr>
                      <w:i/>
                      <w:sz w:val="20"/>
                    </w:rPr>
                  </w:pPr>
                  <w:r w:rsidRPr="00820FD9">
                    <w:rPr>
                      <w:i/>
                      <w:sz w:val="20"/>
                    </w:rPr>
                    <w:t>Use this document to</w:t>
                  </w:r>
                  <w:r w:rsidR="0087384C">
                    <w:rPr>
                      <w:i/>
                      <w:sz w:val="20"/>
                    </w:rPr>
                    <w:t xml:space="preserve"> understand the various components of Student-Led Conferences and how to</w:t>
                  </w:r>
                  <w:r w:rsidRPr="00820FD9">
                    <w:rPr>
                      <w:i/>
                      <w:sz w:val="20"/>
                    </w:rPr>
                    <w:t xml:space="preserve"> </w:t>
                  </w:r>
                  <w:r w:rsidR="0087384C">
                    <w:rPr>
                      <w:i/>
                      <w:sz w:val="20"/>
                    </w:rPr>
                    <w:t>navigate through different phases to full implementation</w:t>
                  </w:r>
                  <w:r w:rsidR="0038489F">
                    <w:rPr>
                      <w:i/>
                      <w:sz w:val="20"/>
                    </w:rPr>
                    <w:t xml:space="preserve"> of this powerful conference format.</w:t>
                  </w:r>
                </w:p>
              </w:txbxContent>
            </v:textbox>
          </v:shape>
        </w:pict>
      </w:r>
      <w:r w:rsidR="003F612C" w:rsidRPr="009732CC">
        <w:rPr>
          <w:b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-352425</wp:posOffset>
            </wp:positionV>
            <wp:extent cx="1590675" cy="790575"/>
            <wp:effectExtent l="19050" t="0" r="9525" b="0"/>
            <wp:wrapTight wrapText="bothSides">
              <wp:wrapPolygon edited="0">
                <wp:start x="-259" y="0"/>
                <wp:lineTo x="-259" y="21340"/>
                <wp:lineTo x="21729" y="21340"/>
                <wp:lineTo x="21729" y="0"/>
                <wp:lineTo x="-259" y="0"/>
              </wp:wrapPolygon>
            </wp:wrapTight>
            <wp:docPr id="3" name="Picture 2" descr="PT Conf Logo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Conf Logo Header.jpg"/>
                    <pic:cNvPicPr/>
                  </pic:nvPicPr>
                  <pic:blipFill>
                    <a:blip r:embed="rId8" cstate="print"/>
                    <a:srcRect r="73037" b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89F" w:rsidRPr="009732CC">
        <w:rPr>
          <w:b/>
          <w:noProof/>
          <w:sz w:val="40"/>
          <w:lang w:eastAsia="zh-TW"/>
        </w:rPr>
        <w:t>Phase Chart</w:t>
      </w:r>
    </w:p>
    <w:p w:rsidR="00E03448" w:rsidRDefault="00B74C11" w:rsidP="000304A9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92.95pt;margin-top:9.3pt;width:656.95pt;height:.05pt;z-index:251660288" o:connectortype="straight"/>
        </w:pict>
      </w:r>
    </w:p>
    <w:p w:rsidR="0038489F" w:rsidRPr="006674EE" w:rsidRDefault="006674EE" w:rsidP="006674EE">
      <w:pPr>
        <w:pStyle w:val="Heading2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Six </w:t>
      </w:r>
      <w:r w:rsidRPr="006674EE">
        <w:rPr>
          <w:color w:val="000000" w:themeColor="text1"/>
          <w:u w:val="single"/>
        </w:rPr>
        <w:t xml:space="preserve">Components of </w:t>
      </w:r>
      <w:r w:rsidR="0038489F" w:rsidRPr="006674EE">
        <w:rPr>
          <w:color w:val="000000" w:themeColor="text1"/>
          <w:u w:val="single"/>
        </w:rPr>
        <w:t xml:space="preserve">Effective Student-Led Conferences: </w:t>
      </w:r>
    </w:p>
    <w:p w:rsidR="0065373E" w:rsidRDefault="0065373E" w:rsidP="006674EE">
      <w:pPr>
        <w:pStyle w:val="ListParagraph"/>
        <w:numPr>
          <w:ilvl w:val="0"/>
          <w:numId w:val="18"/>
        </w:numPr>
        <w:sectPr w:rsidR="0065373E" w:rsidSect="006657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p w:rsidR="000304A9" w:rsidRDefault="0038489F" w:rsidP="0065373E">
      <w:pPr>
        <w:pStyle w:val="ListParagraph"/>
        <w:numPr>
          <w:ilvl w:val="0"/>
          <w:numId w:val="18"/>
        </w:numPr>
        <w:ind w:left="180" w:hanging="180"/>
      </w:pPr>
      <w:r>
        <w:lastRenderedPageBreak/>
        <w:t>Demonstrated administrative</w:t>
      </w:r>
      <w:r w:rsidR="00BA6B93" w:rsidRPr="000304A9">
        <w:t xml:space="preserve"> support </w:t>
      </w:r>
      <w:r w:rsidR="006674EE">
        <w:t>for the conference format</w:t>
      </w:r>
    </w:p>
    <w:p w:rsidR="0038489F" w:rsidRDefault="0038489F" w:rsidP="0065373E">
      <w:pPr>
        <w:pStyle w:val="ListParagraph"/>
        <w:numPr>
          <w:ilvl w:val="0"/>
          <w:numId w:val="18"/>
        </w:numPr>
        <w:ind w:left="180" w:hanging="180"/>
      </w:pPr>
      <w:r>
        <w:t>Compilation of student work collected through the course of the grading period</w:t>
      </w:r>
    </w:p>
    <w:p w:rsidR="0038489F" w:rsidRDefault="0038489F" w:rsidP="0065373E">
      <w:pPr>
        <w:pStyle w:val="ListParagraph"/>
        <w:numPr>
          <w:ilvl w:val="0"/>
          <w:numId w:val="18"/>
        </w:numPr>
        <w:ind w:left="180" w:hanging="180"/>
      </w:pPr>
      <w:r>
        <w:t>Teacher’s written commentary on student work</w:t>
      </w:r>
    </w:p>
    <w:p w:rsidR="0038489F" w:rsidRDefault="0038489F" w:rsidP="0065373E">
      <w:pPr>
        <w:pStyle w:val="ListParagraph"/>
        <w:numPr>
          <w:ilvl w:val="0"/>
          <w:numId w:val="18"/>
        </w:numPr>
        <w:ind w:left="180" w:hanging="180"/>
      </w:pPr>
      <w:r>
        <w:lastRenderedPageBreak/>
        <w:t>Professional Development time to train teachers and staff to facilitate such conferences</w:t>
      </w:r>
    </w:p>
    <w:p w:rsidR="006674EE" w:rsidRDefault="006674EE" w:rsidP="0065373E">
      <w:pPr>
        <w:pStyle w:val="ListParagraph"/>
        <w:numPr>
          <w:ilvl w:val="0"/>
          <w:numId w:val="18"/>
        </w:numPr>
        <w:ind w:left="180" w:hanging="180"/>
      </w:pPr>
      <w:r>
        <w:t>Student participation</w:t>
      </w:r>
    </w:p>
    <w:p w:rsidR="0038489F" w:rsidRDefault="006674EE" w:rsidP="0065373E">
      <w:pPr>
        <w:pStyle w:val="ListParagraph"/>
        <w:numPr>
          <w:ilvl w:val="0"/>
          <w:numId w:val="18"/>
        </w:numPr>
        <w:ind w:left="180" w:hanging="180"/>
      </w:pPr>
      <w:r>
        <w:t>Possible extensions to the conference schedule to allow enough time for discussion.</w:t>
      </w:r>
    </w:p>
    <w:p w:rsidR="0065373E" w:rsidRDefault="0065373E" w:rsidP="006674EE">
      <w:pPr>
        <w:pStyle w:val="Heading2"/>
        <w:rPr>
          <w:color w:val="000000" w:themeColor="text1"/>
          <w:u w:val="single"/>
        </w:rPr>
        <w:sectPr w:rsidR="0065373E" w:rsidSect="0065373E">
          <w:type w:val="continuous"/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</w:p>
    <w:p w:rsidR="006674EE" w:rsidRDefault="006674EE" w:rsidP="00C6252D">
      <w:pPr>
        <w:pStyle w:val="Heading2"/>
        <w:spacing w:before="0"/>
        <w:rPr>
          <w:color w:val="000000" w:themeColor="text1"/>
          <w:u w:val="single"/>
        </w:rPr>
      </w:pPr>
      <w:r w:rsidRPr="006674EE">
        <w:rPr>
          <w:color w:val="000000" w:themeColor="text1"/>
          <w:u w:val="single"/>
        </w:rPr>
        <w:lastRenderedPageBreak/>
        <w:t>Three approaches to begin the process of implementing Student-Led Conferences</w:t>
      </w:r>
    </w:p>
    <w:p w:rsidR="00A81281" w:rsidRPr="00536C2B" w:rsidRDefault="00A81281" w:rsidP="00C6252D">
      <w:pPr>
        <w:pStyle w:val="ListParagraph"/>
        <w:numPr>
          <w:ilvl w:val="0"/>
          <w:numId w:val="19"/>
        </w:numPr>
        <w:spacing w:before="240" w:after="0" w:line="240" w:lineRule="auto"/>
        <w:ind w:left="0"/>
        <w:jc w:val="both"/>
        <w:rPr>
          <w:sz w:val="24"/>
          <w:szCs w:val="24"/>
        </w:rPr>
      </w:pPr>
      <w:r w:rsidRPr="00536C2B">
        <w:rPr>
          <w:b/>
          <w:sz w:val="24"/>
          <w:szCs w:val="24"/>
        </w:rPr>
        <w:t>CONSERVATIVE APPROACH</w:t>
      </w:r>
      <w:r w:rsidR="006674EE" w:rsidRPr="00536C2B">
        <w:rPr>
          <w:b/>
          <w:sz w:val="24"/>
          <w:szCs w:val="24"/>
        </w:rPr>
        <w:t xml:space="preserve"> – </w:t>
      </w:r>
      <w:r w:rsidR="006674EE" w:rsidRPr="000649F2">
        <w:rPr>
          <w:i/>
          <w:szCs w:val="24"/>
        </w:rPr>
        <w:t xml:space="preserve">Ideal for schools wanting to experiment with the conference format, but are not yet ready to commit to full implementation. </w:t>
      </w:r>
      <w:r w:rsidR="009F485A" w:rsidRPr="000649F2">
        <w:rPr>
          <w:i/>
          <w:szCs w:val="24"/>
        </w:rPr>
        <w:t>Starting steps may include:</w:t>
      </w:r>
    </w:p>
    <w:p w:rsidR="009E4A9D" w:rsidRPr="005E3BAB" w:rsidRDefault="002714E3" w:rsidP="00B874E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</w:pPr>
      <w:r w:rsidRPr="005E3BAB">
        <w:t>Explain</w:t>
      </w:r>
      <w:r w:rsidR="009E4A9D" w:rsidRPr="005E3BAB">
        <w:t xml:space="preserve"> the concept of Student-Led Conferences and portfolios to students; let them know that you will work together to present information to their parents.</w:t>
      </w:r>
    </w:p>
    <w:p w:rsidR="00F07B6C" w:rsidRDefault="002714E3" w:rsidP="00B874E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</w:pPr>
      <w:r w:rsidRPr="005E3BAB">
        <w:t>Help</w:t>
      </w:r>
      <w:r w:rsidR="009E4A9D" w:rsidRPr="005E3BAB">
        <w:t xml:space="preserve"> students select one or two artifacts for a student portfolio of work. </w:t>
      </w:r>
    </w:p>
    <w:p w:rsidR="009E4A9D" w:rsidRPr="005E3BAB" w:rsidRDefault="009E4A9D" w:rsidP="00B874E8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</w:pPr>
      <w:r w:rsidRPr="005E3BAB">
        <w:t>Encourag</w:t>
      </w:r>
      <w:r w:rsidR="002714E3" w:rsidRPr="005E3BAB">
        <w:t xml:space="preserve">e </w:t>
      </w:r>
      <w:r w:rsidRPr="005E3BAB">
        <w:t>families to bring their student</w:t>
      </w:r>
      <w:r w:rsidR="00F07B6C">
        <w:t>s</w:t>
      </w:r>
      <w:r w:rsidRPr="005E3BAB">
        <w:t xml:space="preserve"> to conferences.</w:t>
      </w:r>
    </w:p>
    <w:p w:rsidR="00A81281" w:rsidRPr="008738E0" w:rsidRDefault="00A81281" w:rsidP="00B874E8">
      <w:pPr>
        <w:spacing w:after="0" w:line="240" w:lineRule="auto"/>
        <w:ind w:left="360" w:hanging="360"/>
        <w:jc w:val="both"/>
        <w:rPr>
          <w:b/>
          <w:sz w:val="24"/>
        </w:rPr>
      </w:pPr>
    </w:p>
    <w:p w:rsidR="00A81281" w:rsidRPr="000649F2" w:rsidRDefault="00A81281" w:rsidP="00536C2B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i/>
        </w:rPr>
      </w:pPr>
      <w:r w:rsidRPr="00536C2B">
        <w:rPr>
          <w:b/>
          <w:sz w:val="24"/>
          <w:szCs w:val="24"/>
        </w:rPr>
        <w:t>MODERATE APPROACH</w:t>
      </w:r>
      <w:r w:rsidR="006C4CA9" w:rsidRPr="00536C2B">
        <w:rPr>
          <w:b/>
          <w:sz w:val="24"/>
          <w:szCs w:val="24"/>
        </w:rPr>
        <w:t xml:space="preserve"> </w:t>
      </w:r>
      <w:r w:rsidR="00536C2B" w:rsidRPr="00536C2B">
        <w:rPr>
          <w:b/>
          <w:sz w:val="24"/>
          <w:szCs w:val="24"/>
        </w:rPr>
        <w:t xml:space="preserve">– </w:t>
      </w:r>
      <w:r w:rsidR="00536C2B" w:rsidRPr="000649F2">
        <w:rPr>
          <w:i/>
        </w:rPr>
        <w:t xml:space="preserve">Ideal for schools that have experienced success with the starting steps of implementation. </w:t>
      </w:r>
      <w:r w:rsidRPr="000649F2">
        <w:rPr>
          <w:i/>
        </w:rPr>
        <w:t>Repeat all steps from Conservative Approach and add the following elements</w:t>
      </w:r>
      <w:r w:rsidR="00B741C2" w:rsidRPr="000649F2">
        <w:rPr>
          <w:i/>
        </w:rPr>
        <w:t>:</w:t>
      </w:r>
    </w:p>
    <w:p w:rsidR="00506367" w:rsidRPr="005E3BAB" w:rsidRDefault="002714E3" w:rsidP="00B874E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szCs w:val="24"/>
        </w:rPr>
      </w:pPr>
      <w:r w:rsidRPr="005E3BAB">
        <w:rPr>
          <w:szCs w:val="24"/>
        </w:rPr>
        <w:t>Introduce</w:t>
      </w:r>
      <w:r w:rsidR="00506367" w:rsidRPr="005E3BAB">
        <w:rPr>
          <w:szCs w:val="24"/>
        </w:rPr>
        <w:t xml:space="preserve"> Student-Led Conferences through professional development sessions, Leadership Team and Family Engagement Team meetings.</w:t>
      </w:r>
    </w:p>
    <w:p w:rsidR="00F60373" w:rsidRDefault="00F60373" w:rsidP="00B874E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szCs w:val="24"/>
        </w:rPr>
      </w:pPr>
      <w:r w:rsidRPr="00F60373">
        <w:rPr>
          <w:szCs w:val="24"/>
        </w:rPr>
        <w:t xml:space="preserve">Designate a location in your classroom for </w:t>
      </w:r>
      <w:r w:rsidR="009E4A9D" w:rsidRPr="00F60373">
        <w:rPr>
          <w:szCs w:val="24"/>
        </w:rPr>
        <w:t>student portfolios</w:t>
      </w:r>
      <w:r w:rsidRPr="00F60373">
        <w:rPr>
          <w:szCs w:val="24"/>
        </w:rPr>
        <w:t>, and allow students to access the portfolios daily by placing their work in their portfolios at a given time</w:t>
      </w:r>
      <w:r w:rsidR="009E4A9D" w:rsidRPr="00F60373">
        <w:rPr>
          <w:szCs w:val="24"/>
        </w:rPr>
        <w:t xml:space="preserve">. </w:t>
      </w:r>
    </w:p>
    <w:p w:rsidR="009E4A9D" w:rsidRPr="00F60373" w:rsidRDefault="009E4A9D" w:rsidP="00B874E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szCs w:val="24"/>
        </w:rPr>
      </w:pPr>
      <w:r w:rsidRPr="00F60373">
        <w:rPr>
          <w:szCs w:val="24"/>
        </w:rPr>
        <w:t>Allow students to select one or two artifacts from their portfolio that they want to share with their families during conferences.</w:t>
      </w:r>
      <w:r w:rsidR="005F77B0" w:rsidRPr="00F60373">
        <w:rPr>
          <w:szCs w:val="24"/>
        </w:rPr>
        <w:t xml:space="preserve"> Teachers </w:t>
      </w:r>
      <w:r w:rsidR="00F60373">
        <w:rPr>
          <w:szCs w:val="24"/>
        </w:rPr>
        <w:t>may</w:t>
      </w:r>
      <w:r w:rsidR="005F77B0" w:rsidRPr="00F60373">
        <w:rPr>
          <w:szCs w:val="24"/>
        </w:rPr>
        <w:t xml:space="preserve"> make their own notes about the artifacts to share with families of how the piece </w:t>
      </w:r>
      <w:r w:rsidR="0092227D" w:rsidRPr="00F60373">
        <w:rPr>
          <w:szCs w:val="24"/>
        </w:rPr>
        <w:t xml:space="preserve">also illustrates </w:t>
      </w:r>
      <w:r w:rsidR="00F60373">
        <w:rPr>
          <w:szCs w:val="24"/>
        </w:rPr>
        <w:t>the student’s</w:t>
      </w:r>
      <w:r w:rsidR="0092227D" w:rsidRPr="00F60373">
        <w:rPr>
          <w:szCs w:val="24"/>
        </w:rPr>
        <w:t xml:space="preserve"> growth/performance/approach to learning, etc. </w:t>
      </w:r>
    </w:p>
    <w:p w:rsidR="00F60373" w:rsidRDefault="005866FA" w:rsidP="00B874E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szCs w:val="24"/>
        </w:rPr>
      </w:pPr>
      <w:r w:rsidRPr="00F60373">
        <w:rPr>
          <w:szCs w:val="24"/>
        </w:rPr>
        <w:t xml:space="preserve">Allow students to reflect on their work – why they </w:t>
      </w:r>
      <w:r w:rsidR="00F60373">
        <w:rPr>
          <w:szCs w:val="24"/>
        </w:rPr>
        <w:t>received the grade(s) they did and what they learned.</w:t>
      </w:r>
    </w:p>
    <w:p w:rsidR="00A81281" w:rsidRPr="00F60373" w:rsidRDefault="002714E3" w:rsidP="00B874E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szCs w:val="24"/>
        </w:rPr>
      </w:pPr>
      <w:r w:rsidRPr="00F60373">
        <w:rPr>
          <w:szCs w:val="24"/>
        </w:rPr>
        <w:t>Provide</w:t>
      </w:r>
      <w:r w:rsidR="00A81281" w:rsidRPr="00F60373">
        <w:rPr>
          <w:szCs w:val="24"/>
        </w:rPr>
        <w:t xml:space="preserve"> parents wi</w:t>
      </w:r>
      <w:r w:rsidR="00A14957" w:rsidRPr="00F60373">
        <w:rPr>
          <w:szCs w:val="24"/>
        </w:rPr>
        <w:t xml:space="preserve">th a list of leading questions and invite them </w:t>
      </w:r>
      <w:r w:rsidR="00F60373">
        <w:rPr>
          <w:szCs w:val="24"/>
        </w:rPr>
        <w:t xml:space="preserve">to dialogue </w:t>
      </w:r>
      <w:r w:rsidR="00A14957" w:rsidRPr="00F60373">
        <w:rPr>
          <w:szCs w:val="24"/>
        </w:rPr>
        <w:t>during the conference.</w:t>
      </w:r>
    </w:p>
    <w:p w:rsidR="00A14957" w:rsidRDefault="00A14957" w:rsidP="00B874E8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szCs w:val="24"/>
        </w:rPr>
      </w:pPr>
      <w:r w:rsidRPr="005E3BAB">
        <w:rPr>
          <w:szCs w:val="24"/>
        </w:rPr>
        <w:t>Allow students to write invitation</w:t>
      </w:r>
      <w:r w:rsidR="007E4D8A" w:rsidRPr="005E3BAB">
        <w:rPr>
          <w:szCs w:val="24"/>
        </w:rPr>
        <w:t>s</w:t>
      </w:r>
      <w:r w:rsidRPr="005E3BAB">
        <w:rPr>
          <w:szCs w:val="24"/>
        </w:rPr>
        <w:t xml:space="preserve"> </w:t>
      </w:r>
      <w:r w:rsidR="008E4147" w:rsidRPr="005E3BAB">
        <w:rPr>
          <w:szCs w:val="24"/>
        </w:rPr>
        <w:t xml:space="preserve">to families encouraging them to attend conferences </w:t>
      </w:r>
      <w:r w:rsidRPr="005E3BAB">
        <w:rPr>
          <w:szCs w:val="24"/>
        </w:rPr>
        <w:t>and thank you notes to families for attending.</w:t>
      </w:r>
    </w:p>
    <w:p w:rsidR="00CB6F8F" w:rsidRPr="005E3BAB" w:rsidRDefault="00CB6F8F" w:rsidP="00CB6F8F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</w:pPr>
      <w:r w:rsidRPr="005E3BAB">
        <w:t>Devote reflection time for staff to discuss the successes and challenges of Student-Led Conferences and to review survey data from familie</w:t>
      </w:r>
      <w:r>
        <w:t>s to continually improve the process.</w:t>
      </w:r>
    </w:p>
    <w:p w:rsidR="00151F6D" w:rsidRDefault="00151F6D" w:rsidP="00B874E8">
      <w:pPr>
        <w:pStyle w:val="ListParagraph"/>
        <w:spacing w:after="0" w:line="240" w:lineRule="auto"/>
        <w:ind w:left="360" w:hanging="360"/>
        <w:jc w:val="both"/>
        <w:rPr>
          <w:sz w:val="24"/>
          <w:szCs w:val="24"/>
        </w:rPr>
      </w:pPr>
    </w:p>
    <w:p w:rsidR="00151F6D" w:rsidRPr="000649F2" w:rsidRDefault="00151F6D" w:rsidP="00536C2B">
      <w:pPr>
        <w:pStyle w:val="ListParagraph"/>
        <w:numPr>
          <w:ilvl w:val="0"/>
          <w:numId w:val="19"/>
        </w:numPr>
        <w:spacing w:after="0" w:line="240" w:lineRule="auto"/>
        <w:ind w:left="0"/>
        <w:jc w:val="both"/>
        <w:rPr>
          <w:i/>
        </w:rPr>
      </w:pPr>
      <w:r w:rsidRPr="00536C2B">
        <w:rPr>
          <w:b/>
          <w:sz w:val="24"/>
          <w:szCs w:val="24"/>
        </w:rPr>
        <w:t>AGGRESSIVE APPROACH</w:t>
      </w:r>
      <w:r w:rsidR="00536C2B" w:rsidRPr="00536C2B">
        <w:rPr>
          <w:b/>
          <w:sz w:val="24"/>
          <w:szCs w:val="24"/>
        </w:rPr>
        <w:t xml:space="preserve"> - </w:t>
      </w:r>
      <w:r w:rsidR="00536C2B" w:rsidRPr="00536C2B">
        <w:rPr>
          <w:sz w:val="24"/>
          <w:szCs w:val="24"/>
        </w:rPr>
        <w:t xml:space="preserve"> </w:t>
      </w:r>
      <w:r w:rsidR="00536C2B" w:rsidRPr="000649F2">
        <w:rPr>
          <w:i/>
        </w:rPr>
        <w:t xml:space="preserve">Ideal for schools that have experienced success with the conservative and moderate approaches and are ready to adopt Student-Led Conferences as custom practice. </w:t>
      </w:r>
      <w:r w:rsidRPr="000649F2">
        <w:rPr>
          <w:i/>
        </w:rPr>
        <w:t>Repeat all</w:t>
      </w:r>
      <w:r w:rsidR="00536C2B" w:rsidRPr="000649F2">
        <w:rPr>
          <w:i/>
        </w:rPr>
        <w:t xml:space="preserve"> Conservative and Moderate Approach steps</w:t>
      </w:r>
      <w:r w:rsidRPr="000649F2">
        <w:rPr>
          <w:i/>
        </w:rPr>
        <w:t xml:space="preserve"> and add the following elements:</w:t>
      </w:r>
    </w:p>
    <w:p w:rsidR="00151F6D" w:rsidRPr="005E3BAB" w:rsidRDefault="00A21488" w:rsidP="00B874E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</w:pPr>
      <w:r w:rsidRPr="005E3BAB">
        <w:t xml:space="preserve">Involve </w:t>
      </w:r>
      <w:r w:rsidR="00F07B6C">
        <w:t>Leadership Team, Family E</w:t>
      </w:r>
      <w:r w:rsidRPr="005E3BAB">
        <w:t>ngagement team and grade-level team leaders to create a consistent plan for you</w:t>
      </w:r>
      <w:r w:rsidR="00574D5B" w:rsidRPr="005E3BAB">
        <w:t>r building to implement Student-</w:t>
      </w:r>
      <w:r w:rsidRPr="005E3BAB">
        <w:t>Led Conferences.</w:t>
      </w:r>
    </w:p>
    <w:p w:rsidR="00B52C97" w:rsidRPr="005E3BAB" w:rsidRDefault="00B52C97" w:rsidP="00B874E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</w:pPr>
      <w:r w:rsidRPr="005E3BAB">
        <w:t>Devote planning time to help teachers prepare</w:t>
      </w:r>
      <w:r w:rsidR="00574D5B" w:rsidRPr="005E3BAB">
        <w:t xml:space="preserve"> to facilitate Student-Led Conferences</w:t>
      </w:r>
    </w:p>
    <w:p w:rsidR="00A21488" w:rsidRDefault="00574D5B" w:rsidP="00B874E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</w:pPr>
      <w:r w:rsidRPr="005E3BAB">
        <w:t>Give</w:t>
      </w:r>
      <w:r w:rsidR="00A21488" w:rsidRPr="005E3BAB">
        <w:t xml:space="preserve"> students</w:t>
      </w:r>
      <w:r w:rsidRPr="005E3BAB">
        <w:t xml:space="preserve"> time</w:t>
      </w:r>
      <w:r w:rsidR="00A21488" w:rsidRPr="005E3BAB">
        <w:t xml:space="preserve"> to prepare </w:t>
      </w:r>
      <w:r w:rsidRPr="005E3BAB">
        <w:t xml:space="preserve">materials and their comments </w:t>
      </w:r>
      <w:r w:rsidR="00A21488" w:rsidRPr="005E3BAB">
        <w:t>to present during Student-Led Conferences for fall and spring conference sessions.</w:t>
      </w:r>
    </w:p>
    <w:p w:rsidR="00CB6F8F" w:rsidRPr="005E3BAB" w:rsidRDefault="00CB6F8F" w:rsidP="00B874E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</w:pPr>
      <w:r>
        <w:t>Extend the duration of conferences to allow time for every student to perform a Student-Led Conference.</w:t>
      </w:r>
    </w:p>
    <w:p w:rsidR="00A21488" w:rsidRPr="005E3BAB" w:rsidRDefault="00CB6F8F" w:rsidP="00B874E8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</w:pPr>
      <w:r>
        <w:t>Transition student portfolios with students as they progress to the next grade level in your building.</w:t>
      </w:r>
      <w:r w:rsidR="00A21488" w:rsidRPr="005E3BAB">
        <w:t xml:space="preserve"> Give portfolios to families when students transfer from your building or graduate. </w:t>
      </w:r>
    </w:p>
    <w:sectPr w:rsidR="00A21488" w:rsidRPr="005E3BAB" w:rsidSect="006657EA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60" w:rsidRDefault="00960C60" w:rsidP="00837DFB">
      <w:pPr>
        <w:spacing w:after="0" w:line="240" w:lineRule="auto"/>
      </w:pPr>
      <w:r>
        <w:separator/>
      </w:r>
    </w:p>
  </w:endnote>
  <w:endnote w:type="continuationSeparator" w:id="0">
    <w:p w:rsidR="00960C60" w:rsidRDefault="00960C60" w:rsidP="0083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3" w:rsidRDefault="00C442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FB" w:rsidRDefault="00837DFB" w:rsidP="00837DFB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-50165</wp:posOffset>
          </wp:positionV>
          <wp:extent cx="457200" cy="447675"/>
          <wp:effectExtent l="19050" t="0" r="0" b="0"/>
          <wp:wrapTight wrapText="bothSides">
            <wp:wrapPolygon edited="0">
              <wp:start x="-900" y="0"/>
              <wp:lineTo x="-900" y="21140"/>
              <wp:lineTo x="21600" y="21140"/>
              <wp:lineTo x="21600" y="0"/>
              <wp:lineTo x="-900" y="0"/>
            </wp:wrapPolygon>
          </wp:wrapTight>
          <wp:docPr id="2" name="Picture 1" descr="usd259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259logo.gif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Wichita Public Schools </w:t>
    </w:r>
  </w:p>
  <w:p w:rsidR="00837DFB" w:rsidRDefault="00837DFB" w:rsidP="00837DFB">
    <w:pPr>
      <w:pStyle w:val="Footer"/>
      <w:tabs>
        <w:tab w:val="clear" w:pos="4680"/>
        <w:tab w:val="left" w:pos="720"/>
        <w:tab w:val="center" w:pos="5040"/>
      </w:tabs>
    </w:pPr>
    <w:r>
      <w:tab/>
      <w:t xml:space="preserve">Parent-Teacher Conference </w:t>
    </w:r>
    <w:r w:rsidR="00C442A3">
      <w:t>Phase Chart</w:t>
    </w:r>
    <w:r>
      <w:t xml:space="preserve"> </w:t>
    </w:r>
    <w:r>
      <w:rPr>
        <w:rFonts w:cstheme="minorHAnsi"/>
      </w:rPr>
      <w:t>●</w:t>
    </w:r>
    <w:r>
      <w:t xml:space="preserve"> 2010-2011</w:t>
    </w:r>
  </w:p>
  <w:p w:rsidR="00837DFB" w:rsidRDefault="00837D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3" w:rsidRDefault="00C44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60" w:rsidRDefault="00960C60" w:rsidP="00837DFB">
      <w:pPr>
        <w:spacing w:after="0" w:line="240" w:lineRule="auto"/>
      </w:pPr>
      <w:r>
        <w:separator/>
      </w:r>
    </w:p>
  </w:footnote>
  <w:footnote w:type="continuationSeparator" w:id="0">
    <w:p w:rsidR="00960C60" w:rsidRDefault="00960C60" w:rsidP="0083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3" w:rsidRDefault="00C442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3" w:rsidRDefault="00C442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A3" w:rsidRDefault="00C44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8pt" o:bullet="t">
        <v:imagedata r:id="rId1" o:title="check box"/>
      </v:shape>
    </w:pict>
  </w:numPicBullet>
  <w:abstractNum w:abstractNumId="0">
    <w:nsid w:val="0516549D"/>
    <w:multiLevelType w:val="hybridMultilevel"/>
    <w:tmpl w:val="CA7EF574"/>
    <w:lvl w:ilvl="0" w:tplc="FB8AA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27BA"/>
    <w:multiLevelType w:val="hybridMultilevel"/>
    <w:tmpl w:val="9CFAA71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4F761A"/>
    <w:multiLevelType w:val="hybridMultilevel"/>
    <w:tmpl w:val="2166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4544"/>
    <w:multiLevelType w:val="hybridMultilevel"/>
    <w:tmpl w:val="2748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77AF"/>
    <w:multiLevelType w:val="hybridMultilevel"/>
    <w:tmpl w:val="2B08218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7F8EE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E679C"/>
    <w:multiLevelType w:val="hybridMultilevel"/>
    <w:tmpl w:val="44C4A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C139F"/>
    <w:multiLevelType w:val="hybridMultilevel"/>
    <w:tmpl w:val="89FC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74BE"/>
    <w:multiLevelType w:val="hybridMultilevel"/>
    <w:tmpl w:val="805C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0D16"/>
    <w:multiLevelType w:val="hybridMultilevel"/>
    <w:tmpl w:val="7DEC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D610A"/>
    <w:multiLevelType w:val="hybridMultilevel"/>
    <w:tmpl w:val="0D8C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6F37"/>
    <w:multiLevelType w:val="hybridMultilevel"/>
    <w:tmpl w:val="DDDA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CF2"/>
    <w:multiLevelType w:val="hybridMultilevel"/>
    <w:tmpl w:val="E19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62BA1"/>
    <w:multiLevelType w:val="hybridMultilevel"/>
    <w:tmpl w:val="01B4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3C5F"/>
    <w:multiLevelType w:val="hybridMultilevel"/>
    <w:tmpl w:val="D584E2A2"/>
    <w:lvl w:ilvl="0" w:tplc="FD625A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07ABC"/>
    <w:multiLevelType w:val="hybridMultilevel"/>
    <w:tmpl w:val="DBF83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D5085"/>
    <w:multiLevelType w:val="hybridMultilevel"/>
    <w:tmpl w:val="A61C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9155C"/>
    <w:multiLevelType w:val="hybridMultilevel"/>
    <w:tmpl w:val="F202BCFE"/>
    <w:lvl w:ilvl="0" w:tplc="E1E6B8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F44F3"/>
    <w:multiLevelType w:val="hybridMultilevel"/>
    <w:tmpl w:val="E92A7434"/>
    <w:lvl w:ilvl="0" w:tplc="0409000B">
      <w:start w:val="1"/>
      <w:numFmt w:val="bullet"/>
      <w:lvlText w:val=""/>
      <w:lvlJc w:val="left"/>
      <w:pPr>
        <w:ind w:left="154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8755F"/>
    <w:multiLevelType w:val="hybridMultilevel"/>
    <w:tmpl w:val="2286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6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6B93"/>
    <w:rsid w:val="00002312"/>
    <w:rsid w:val="0000419A"/>
    <w:rsid w:val="00017D12"/>
    <w:rsid w:val="000304A9"/>
    <w:rsid w:val="00034A5C"/>
    <w:rsid w:val="000649F2"/>
    <w:rsid w:val="00151F6D"/>
    <w:rsid w:val="00160A0D"/>
    <w:rsid w:val="002714E3"/>
    <w:rsid w:val="002D0024"/>
    <w:rsid w:val="002D13E5"/>
    <w:rsid w:val="003365C8"/>
    <w:rsid w:val="003829A6"/>
    <w:rsid w:val="00383E88"/>
    <w:rsid w:val="0038489F"/>
    <w:rsid w:val="00391181"/>
    <w:rsid w:val="003B1289"/>
    <w:rsid w:val="003E51B5"/>
    <w:rsid w:val="003E704D"/>
    <w:rsid w:val="003F612C"/>
    <w:rsid w:val="00401ED6"/>
    <w:rsid w:val="00426EBE"/>
    <w:rsid w:val="004302C5"/>
    <w:rsid w:val="00442930"/>
    <w:rsid w:val="004923F4"/>
    <w:rsid w:val="004D40F0"/>
    <w:rsid w:val="004F5009"/>
    <w:rsid w:val="00506367"/>
    <w:rsid w:val="00536C2B"/>
    <w:rsid w:val="00574D5B"/>
    <w:rsid w:val="005866FA"/>
    <w:rsid w:val="005962BA"/>
    <w:rsid w:val="005A3AC6"/>
    <w:rsid w:val="005B4772"/>
    <w:rsid w:val="005D6ABA"/>
    <w:rsid w:val="005E2602"/>
    <w:rsid w:val="005E3BAB"/>
    <w:rsid w:val="005F77B0"/>
    <w:rsid w:val="00607A06"/>
    <w:rsid w:val="0065373E"/>
    <w:rsid w:val="00656731"/>
    <w:rsid w:val="006576EC"/>
    <w:rsid w:val="006622D8"/>
    <w:rsid w:val="006657EA"/>
    <w:rsid w:val="0066605D"/>
    <w:rsid w:val="006674EE"/>
    <w:rsid w:val="0068608A"/>
    <w:rsid w:val="006B52EC"/>
    <w:rsid w:val="006C4CA9"/>
    <w:rsid w:val="00734935"/>
    <w:rsid w:val="00743393"/>
    <w:rsid w:val="00760EE7"/>
    <w:rsid w:val="007C3341"/>
    <w:rsid w:val="007E4D8A"/>
    <w:rsid w:val="00820FD9"/>
    <w:rsid w:val="00837DFB"/>
    <w:rsid w:val="0087384C"/>
    <w:rsid w:val="008738E0"/>
    <w:rsid w:val="0088703E"/>
    <w:rsid w:val="008E249E"/>
    <w:rsid w:val="008E4147"/>
    <w:rsid w:val="008E70EA"/>
    <w:rsid w:val="008F6C07"/>
    <w:rsid w:val="0092227D"/>
    <w:rsid w:val="00946D2E"/>
    <w:rsid w:val="00960C60"/>
    <w:rsid w:val="009732CC"/>
    <w:rsid w:val="009A1484"/>
    <w:rsid w:val="009B76E9"/>
    <w:rsid w:val="009E020A"/>
    <w:rsid w:val="009E4A9D"/>
    <w:rsid w:val="009F485A"/>
    <w:rsid w:val="009F6C22"/>
    <w:rsid w:val="00A14957"/>
    <w:rsid w:val="00A21488"/>
    <w:rsid w:val="00A74E8D"/>
    <w:rsid w:val="00A81281"/>
    <w:rsid w:val="00AA5413"/>
    <w:rsid w:val="00AA7F23"/>
    <w:rsid w:val="00AF1CC4"/>
    <w:rsid w:val="00AF6123"/>
    <w:rsid w:val="00B52C97"/>
    <w:rsid w:val="00B54186"/>
    <w:rsid w:val="00B71377"/>
    <w:rsid w:val="00B741C2"/>
    <w:rsid w:val="00B74C11"/>
    <w:rsid w:val="00B830D3"/>
    <w:rsid w:val="00B874E8"/>
    <w:rsid w:val="00B90FED"/>
    <w:rsid w:val="00BA15BE"/>
    <w:rsid w:val="00BA6B93"/>
    <w:rsid w:val="00BB6FE6"/>
    <w:rsid w:val="00C0104C"/>
    <w:rsid w:val="00C228B2"/>
    <w:rsid w:val="00C442A3"/>
    <w:rsid w:val="00C6252D"/>
    <w:rsid w:val="00CB6F8F"/>
    <w:rsid w:val="00D76F0E"/>
    <w:rsid w:val="00D84985"/>
    <w:rsid w:val="00DB12F9"/>
    <w:rsid w:val="00DF3E74"/>
    <w:rsid w:val="00E03448"/>
    <w:rsid w:val="00E109E2"/>
    <w:rsid w:val="00E12EDC"/>
    <w:rsid w:val="00E82E45"/>
    <w:rsid w:val="00F07B6C"/>
    <w:rsid w:val="00F60373"/>
    <w:rsid w:val="00FA65F6"/>
    <w:rsid w:val="00FD6203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DFB"/>
  </w:style>
  <w:style w:type="paragraph" w:styleId="Footer">
    <w:name w:val="footer"/>
    <w:basedOn w:val="Normal"/>
    <w:link w:val="FooterChar"/>
    <w:uiPriority w:val="99"/>
    <w:unhideWhenUsed/>
    <w:rsid w:val="00837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FB"/>
  </w:style>
  <w:style w:type="character" w:customStyle="1" w:styleId="Heading2Char">
    <w:name w:val="Heading 2 Char"/>
    <w:basedOn w:val="DefaultParagraphFont"/>
    <w:link w:val="Heading2"/>
    <w:uiPriority w:val="9"/>
    <w:rsid w:val="00667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9DE4-73BF-4DE4-84C6-67354843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schristian</dc:creator>
  <cp:lastModifiedBy>cwoods1</cp:lastModifiedBy>
  <cp:revision>3</cp:revision>
  <cp:lastPrinted>2011-05-23T19:45:00Z</cp:lastPrinted>
  <dcterms:created xsi:type="dcterms:W3CDTF">2011-05-25T21:51:00Z</dcterms:created>
  <dcterms:modified xsi:type="dcterms:W3CDTF">2011-05-25T21:51:00Z</dcterms:modified>
</cp:coreProperties>
</file>